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line="570" w:lineRule="exact"/>
        <w:ind w:right="-197" w:rightChars="-94"/>
        <w:jc w:val="center"/>
        <w:rPr>
          <w:rFonts w:ascii="仿宋" w:hAnsi="仿宋" w:eastAsia="仿宋" w:cs="仿宋"/>
          <w:b/>
          <w:sz w:val="44"/>
          <w:szCs w:val="44"/>
        </w:rPr>
      </w:pPr>
      <w:r>
        <w:rPr>
          <w:rFonts w:hint="eastAsia" w:ascii="仿宋" w:hAnsi="仿宋" w:eastAsia="仿宋" w:cs="仿宋"/>
          <w:b/>
          <w:sz w:val="44"/>
          <w:szCs w:val="44"/>
        </w:rPr>
        <w:t>2018年英吉沙县苏盖提乡深度贫困村整治项目</w:t>
      </w:r>
    </w:p>
    <w:p>
      <w:pPr>
        <w:pStyle w:val="5"/>
        <w:widowControl/>
        <w:spacing w:line="570" w:lineRule="exact"/>
        <w:jc w:val="center"/>
        <w:rPr>
          <w:rStyle w:val="7"/>
          <w:rFonts w:ascii="仿宋" w:hAnsi="仿宋" w:eastAsia="仿宋" w:cs="仿宋"/>
          <w:sz w:val="32"/>
          <w:szCs w:val="32"/>
        </w:rPr>
      </w:pPr>
      <w:r>
        <w:rPr>
          <w:rFonts w:hint="eastAsia" w:ascii="仿宋" w:hAnsi="仿宋" w:eastAsia="仿宋" w:cs="仿宋"/>
          <w:b/>
          <w:sz w:val="44"/>
          <w:szCs w:val="44"/>
        </w:rPr>
        <w:t>绩效自评报告</w:t>
      </w:r>
    </w:p>
    <w:p>
      <w:pPr>
        <w:pStyle w:val="5"/>
        <w:widowControl/>
        <w:spacing w:before="0" w:beforeAutospacing="0" w:after="0" w:afterAutospacing="0" w:line="570" w:lineRule="exact"/>
        <w:ind w:firstLine="640"/>
        <w:rPr>
          <w:rFonts w:ascii="仿宋" w:hAnsi="仿宋" w:eastAsia="仿宋" w:cs="仿宋"/>
          <w:color w:val="000000"/>
          <w:sz w:val="32"/>
          <w:szCs w:val="32"/>
        </w:rPr>
      </w:pP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一、项目概况</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　</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（二）项目基本情况简介</w:t>
      </w:r>
    </w:p>
    <w:p>
      <w:p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1．项目用途和主要内容</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为苏盖提乡建设农村小商铺，切实提高农农村小商品服务业发展及基本公共服务，提高村民对扶智脱贫的积极性，使现有的人力，物力、财力得到最大化合理的运用。使有限的扶贫资金恰当的得以运用。</w:t>
      </w:r>
      <w:r>
        <w:rPr>
          <w:rFonts w:hint="eastAsia" w:ascii="仿宋" w:hAnsi="仿宋" w:eastAsia="仿宋" w:cs="仿宋"/>
          <w:color w:val="000000"/>
          <w:sz w:val="32"/>
          <w:szCs w:val="32"/>
        </w:rPr>
        <w:tab/>
      </w:r>
      <w:r>
        <w:rPr>
          <w:rFonts w:hint="eastAsia" w:ascii="仿宋" w:hAnsi="仿宋" w:eastAsia="仿宋" w:cs="仿宋"/>
          <w:color w:val="000000"/>
          <w:sz w:val="32"/>
          <w:szCs w:val="32"/>
        </w:rPr>
        <w:tab/>
      </w:r>
      <w:r>
        <w:rPr>
          <w:rFonts w:hint="eastAsia" w:ascii="仿宋" w:hAnsi="仿宋" w:eastAsia="仿宋" w:cs="仿宋"/>
          <w:color w:val="000000"/>
          <w:sz w:val="32"/>
          <w:szCs w:val="32"/>
        </w:rPr>
        <w:tab/>
      </w:r>
      <w:r>
        <w:rPr>
          <w:rFonts w:hint="eastAsia" w:ascii="仿宋" w:hAnsi="仿宋" w:eastAsia="仿宋" w:cs="仿宋"/>
          <w:color w:val="000000"/>
          <w:sz w:val="32"/>
          <w:szCs w:val="32"/>
        </w:rPr>
        <w:tab/>
      </w:r>
    </w:p>
    <w:p>
      <w:p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2．项目绩效总目标及阶段性目标</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（1）项目绩效总目标</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资金使用总额控制在1350.8万元。通过合理的对财、物资源的投入使用，以双向受益为目的，降低成本。提高工作效率，更好的体现经济效益。五个村的公共基础设施建设面积约335平方米，为更多地惠及广大贫困户就业和提高“用双手劳动脱贫的”的思想认识形成了巨大的促进作用。使有限的扶贫资金恰当的得以运用。</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（2）项目绩效阶段性目标</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苏盖提乡建设农村小商铺，为9村和谐畜牧养殖合作社购置电力等附属设备，切实改善了贫困户自助创业的积极性，让一批不能外出就业的贫困户在本村内可以增加收入，对后期的脱贫路径有了规划。</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二、项目资金使用及管理情况</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（一）项目资金安排落实情况</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2018年9月，2018年地区盘活资金1350.8万元落实到位</w:t>
      </w:r>
    </w:p>
    <w:tbl>
      <w:tblPr>
        <w:tblStyle w:val="8"/>
        <w:tblpPr w:leftFromText="180" w:rightFromText="180" w:vertAnchor="text" w:horzAnchor="page" w:tblpX="964" w:tblpY="284"/>
        <w:tblOverlap w:val="never"/>
        <w:tblW w:w="9925" w:type="dxa"/>
        <w:tblInd w:w="0" w:type="dxa"/>
        <w:tblLayout w:type="fixed"/>
        <w:tblCellMar>
          <w:top w:w="15" w:type="dxa"/>
          <w:left w:w="15" w:type="dxa"/>
          <w:bottom w:w="15" w:type="dxa"/>
          <w:right w:w="15" w:type="dxa"/>
        </w:tblCellMar>
      </w:tblPr>
      <w:tblGrid>
        <w:gridCol w:w="240"/>
        <w:gridCol w:w="1769"/>
        <w:gridCol w:w="4901"/>
        <w:gridCol w:w="1140"/>
        <w:gridCol w:w="1875"/>
      </w:tblGrid>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r>
      <w:tr>
        <w:tblPrEx>
          <w:tblLayout w:type="fixed"/>
          <w:tblCellMar>
            <w:top w:w="15" w:type="dxa"/>
            <w:left w:w="15" w:type="dxa"/>
            <w:bottom w:w="15" w:type="dxa"/>
            <w:right w:w="15" w:type="dxa"/>
          </w:tblCellMar>
        </w:tblPrEx>
        <w:trPr>
          <w:trHeight w:val="840" w:hRule="atLeast"/>
        </w:trPr>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49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r>
      <w:tr>
        <w:tblPrEx>
          <w:tblLayout w:type="fixed"/>
          <w:tblCellMar>
            <w:top w:w="15" w:type="dxa"/>
            <w:left w:w="15" w:type="dxa"/>
            <w:bottom w:w="15" w:type="dxa"/>
            <w:right w:w="15" w:type="dxa"/>
          </w:tblCellMar>
        </w:tblPrEx>
        <w:trPr>
          <w:trHeight w:val="286" w:hRule="atLeast"/>
        </w:trPr>
        <w:tc>
          <w:tcPr>
            <w:tcW w:w="6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70" w:lineRule="exact"/>
              <w:jc w:val="center"/>
              <w:rPr>
                <w:rFonts w:ascii="仿宋" w:hAnsi="仿宋" w:eastAsia="仿宋" w:cs="仿宋"/>
                <w:color w:val="000000"/>
                <w:sz w:val="22"/>
                <w:szCs w:val="22"/>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70" w:lineRule="exact"/>
              <w:jc w:val="center"/>
              <w:textAlignment w:val="center"/>
              <w:rPr>
                <w:rFonts w:ascii="仿宋" w:hAnsi="仿宋" w:eastAsia="仿宋" w:cs="仿宋"/>
                <w:color w:val="000000"/>
                <w:sz w:val="22"/>
                <w:szCs w:val="22"/>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70" w:lineRule="exact"/>
              <w:jc w:val="center"/>
              <w:rPr>
                <w:rFonts w:ascii="仿宋" w:hAnsi="仿宋" w:eastAsia="仿宋" w:cs="仿宋"/>
                <w:color w:val="000000"/>
                <w:sz w:val="22"/>
                <w:szCs w:val="22"/>
              </w:rPr>
            </w:pPr>
          </w:p>
        </w:tc>
      </w:tr>
    </w:tbl>
    <w:p>
      <w:pPr>
        <w:pStyle w:val="5"/>
        <w:widowControl/>
        <w:spacing w:before="0" w:beforeAutospacing="0" w:after="0" w:afterAutospacing="0" w:line="570" w:lineRule="exact"/>
        <w:ind w:firstLine="640" w:firstLineChars="200"/>
        <w:rPr>
          <w:rFonts w:ascii="仿宋" w:hAnsi="仿宋" w:eastAsia="仿宋" w:cs="仿宋"/>
          <w:color w:val="000000"/>
          <w:sz w:val="32"/>
          <w:szCs w:val="32"/>
        </w:rPr>
      </w:pPr>
    </w:p>
    <w:p>
      <w:pPr>
        <w:pStyle w:val="5"/>
        <w:widowControl/>
        <w:spacing w:before="0" w:beforeAutospacing="0" w:after="0" w:afterAutospacing="0"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（三）项目资金管理情况分析</w:t>
      </w:r>
    </w:p>
    <w:p>
      <w:pPr>
        <w:pStyle w:val="5"/>
        <w:widowControl/>
        <w:spacing w:before="0" w:beforeAutospacing="0" w:after="0" w:afterAutospacing="0"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我乡专项经费在使用过程中，严格按照自治区及地区的财务管理制度，接待管理制度、采购制度，资金走国库集中支付报账制。</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三、项目组织实施及管理情况</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项目由乡政府管理建设，监督项目进度及资金支出进度；工作队负责项目实施，保证项目手续齐全；乡财务人员根据工程进度严格执行报账制度进行支付。</w:t>
      </w:r>
    </w:p>
    <w:p>
      <w:p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（一）项目绩效情况</w:t>
      </w:r>
    </w:p>
    <w:p>
      <w:p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1. 项目经济性分析</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该项目资金坚持量入为出的原则，资金使用总额控制在58.88万元。</w:t>
      </w:r>
    </w:p>
    <w:p>
      <w:p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2. 项目的效率性分析</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通过合理的对财、物资源的投入使用，以双向受益为目的，降低成本。提高工作效率，更好的体现经济效益。使扶贫资金发挥更大效益。</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经济效益。此项目受益村民56人，11间公共基础设施建设为村民村民生活提供了方便，畜牧合作社的建设为带动贫困户积极加盟养殖合作社提供了现实条件，公共浴室的假设将为村民形成讲卫生的好习惯和预防疾病的发生打下基础。</w:t>
      </w:r>
    </w:p>
    <w:p>
      <w:p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3. 项目的可持续性分析</w:t>
      </w:r>
    </w:p>
    <w:p>
      <w:pPr>
        <w:pStyle w:val="5"/>
        <w:widowControl/>
        <w:spacing w:before="0" w:beforeAutospacing="0" w:after="0" w:afterAutospacing="0" w:line="57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 xml:space="preserve"> 鼓励农村无劳动力或者无法外出就业劳动力就地就业创业是脱贫攻坚任务的重中之重，乡村振兴战略对现代农村的公共基础服务提出了更高要求，小商铺和浴室建设为贫困户创业坚定了信心，在当今农业生产量化的背景下，就如何积极引导贫困户通过积极创业走上脱贫之路已是必然之势，而此次小商铺建设和公共浴室建设不仅增加了贫困户收入，而且也对农村村容村貌改善起了积极作用。</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四、主要经验及做法、意见建议</w:t>
      </w:r>
    </w:p>
    <w:p>
      <w:p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1、主要经验及做法</w:t>
      </w:r>
    </w:p>
    <w:p>
      <w:pPr>
        <w:adjustRightInd w:val="0"/>
        <w:snapToGrid w:val="0"/>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项目确定后苏盖提乡人民政府扶贫中心主办，县扶贫开放领导小组主要指导，英吉沙县财政局农财股监督资金使用，全力配合，多方协同，细化责任分工，确保项目有序推进。</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2、意见建议</w:t>
      </w: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kern w:val="2"/>
          <w:sz w:val="32"/>
          <w:szCs w:val="32"/>
        </w:rPr>
        <w:t>加大宣传力度，提高老百姓的认识，鼓励并建议大家合</w:t>
      </w:r>
      <w:r>
        <w:rPr>
          <w:rFonts w:hint="eastAsia" w:ascii="仿宋" w:hAnsi="仿宋" w:eastAsia="仿宋" w:cs="仿宋"/>
          <w:color w:val="000000"/>
          <w:sz w:val="32"/>
          <w:szCs w:val="32"/>
        </w:rPr>
        <w:t>理使用机械，加大宣传力度，</w:t>
      </w:r>
      <w:bookmarkStart w:id="0" w:name="_GoBack"/>
      <w:bookmarkEnd w:id="0"/>
      <w:r>
        <w:rPr>
          <w:rFonts w:hint="eastAsia" w:ascii="仿宋" w:hAnsi="仿宋" w:eastAsia="仿宋" w:cs="仿宋"/>
          <w:color w:val="000000"/>
          <w:sz w:val="32"/>
          <w:szCs w:val="32"/>
        </w:rPr>
        <w:t>工作队加强宣传引导。并且加大对技术人员的培养，从贫困户就业、大家受益方面促使合作社长远发挥效益。</w:t>
      </w: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p>
    <w:p>
      <w:pPr>
        <w:pStyle w:val="5"/>
        <w:widowControl/>
        <w:spacing w:before="0" w:beforeAutospacing="0" w:after="0" w:afterAutospacing="0" w:line="570" w:lineRule="exact"/>
        <w:ind w:firstLine="640" w:firstLineChars="200"/>
        <w:jc w:val="both"/>
        <w:rPr>
          <w:rFonts w:ascii="仿宋" w:hAnsi="仿宋" w:eastAsia="仿宋" w:cs="仿宋"/>
          <w:color w:val="000000"/>
          <w:sz w:val="32"/>
          <w:szCs w:val="32"/>
        </w:rPr>
      </w:pPr>
    </w:p>
    <w:p>
      <w:pPr>
        <w:pStyle w:val="5"/>
        <w:widowControl/>
        <w:spacing w:before="0" w:beforeAutospacing="0" w:after="0" w:afterAutospacing="0" w:line="570" w:lineRule="exact"/>
        <w:jc w:val="both"/>
        <w:rPr>
          <w:rFonts w:ascii="仿宋" w:hAnsi="仿宋" w:eastAsia="仿宋" w:cs="仿宋"/>
          <w:color w:val="000000"/>
          <w:sz w:val="32"/>
          <w:szCs w:val="32"/>
        </w:rPr>
      </w:pPr>
    </w:p>
    <w:p>
      <w:pPr>
        <w:tabs>
          <w:tab w:val="left" w:pos="7272"/>
        </w:tabs>
        <w:spacing w:line="570" w:lineRule="exact"/>
        <w:ind w:firstLine="640"/>
        <w:jc w:val="left"/>
        <w:rPr>
          <w:rFonts w:ascii="仿宋" w:hAnsi="仿宋" w:eastAsia="仿宋" w:cs="仿宋"/>
          <w:sz w:val="32"/>
          <w:szCs w:val="32"/>
        </w:rPr>
      </w:pPr>
    </w:p>
    <w:p>
      <w:pPr>
        <w:tabs>
          <w:tab w:val="left" w:pos="7272"/>
        </w:tabs>
        <w:spacing w:line="570" w:lineRule="exact"/>
        <w:ind w:firstLine="640"/>
        <w:jc w:val="left"/>
        <w:rPr>
          <w:rFonts w:ascii="仿宋" w:hAnsi="仿宋" w:eastAsia="仿宋" w:cs="仿宋"/>
          <w:sz w:val="32"/>
          <w:szCs w:val="32"/>
        </w:rPr>
      </w:pPr>
      <w:r>
        <w:rPr>
          <w:rFonts w:hint="eastAsia" w:ascii="仿宋" w:hAnsi="仿宋" w:eastAsia="仿宋" w:cs="仿宋"/>
          <w:sz w:val="32"/>
          <w:szCs w:val="32"/>
        </w:rPr>
        <w:t xml:space="preserve">                             英吉沙县扶贫办</w:t>
      </w:r>
    </w:p>
    <w:p>
      <w:pPr>
        <w:tabs>
          <w:tab w:val="left" w:pos="7272"/>
        </w:tabs>
        <w:spacing w:line="570" w:lineRule="exact"/>
        <w:ind w:firstLine="640"/>
        <w:jc w:val="left"/>
        <w:rPr>
          <w:rFonts w:ascii="仿宋" w:hAnsi="仿宋" w:eastAsia="仿宋" w:cs="仿宋"/>
          <w:sz w:val="30"/>
          <w:szCs w:val="30"/>
        </w:rPr>
      </w:pPr>
      <w:r>
        <w:rPr>
          <w:rFonts w:hint="eastAsia" w:ascii="仿宋" w:hAnsi="仿宋" w:eastAsia="仿宋" w:cs="仿宋"/>
          <w:sz w:val="32"/>
          <w:szCs w:val="32"/>
        </w:rPr>
        <w:t xml:space="preserve">                            2018年 12月28日</w:t>
      </w:r>
    </w:p>
    <w:p>
      <w:pPr>
        <w:pStyle w:val="5"/>
        <w:widowControl/>
        <w:spacing w:before="0" w:beforeAutospacing="0" w:after="0" w:afterAutospacing="0" w:line="570" w:lineRule="exact"/>
        <w:jc w:val="both"/>
        <w:rPr>
          <w:rFonts w:ascii="仿宋" w:hAnsi="仿宋" w:eastAsia="仿宋" w:cs="仿宋"/>
          <w:color w:val="00000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BFD1DA5"/>
    <w:rsid w:val="00181753"/>
    <w:rsid w:val="00200208"/>
    <w:rsid w:val="00246796"/>
    <w:rsid w:val="002A0705"/>
    <w:rsid w:val="00371C11"/>
    <w:rsid w:val="0053742D"/>
    <w:rsid w:val="005B7045"/>
    <w:rsid w:val="009A6EC9"/>
    <w:rsid w:val="009E0B41"/>
    <w:rsid w:val="00BE5C5C"/>
    <w:rsid w:val="00E72787"/>
    <w:rsid w:val="0BFD1DA5"/>
    <w:rsid w:val="1CF07C94"/>
    <w:rsid w:val="20C676C4"/>
    <w:rsid w:val="232A5AA4"/>
    <w:rsid w:val="3B965A5F"/>
    <w:rsid w:val="42E90945"/>
    <w:rsid w:val="4B38194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kern w:val="0"/>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5</Pages>
  <Words>227</Words>
  <Characters>1298</Characters>
  <Lines>10</Lines>
  <Paragraphs>3</Paragraphs>
  <TotalTime>19</TotalTime>
  <ScaleCrop>false</ScaleCrop>
  <LinksUpToDate>false</LinksUpToDate>
  <CharactersWithSpaces>1522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2018-11-08T11:54:00Z</dcterms:created>
  <dc:creator>Captain Alex</dc:creator>
  <cp:lastModifiedBy>Administrator</cp:lastModifiedBy>
  <cp:lastPrinted>2019-04-11T03:10:00Z</cp:lastPrinted>
  <dcterms:modified xsi:type="dcterms:W3CDTF">2019-09-16T11:54:18Z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